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Basic Certificate or the Cyber Essentials Plus Certificate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Bold" w:cs="Arial Bold" w:eastAsia="Arial Bold" w:hAnsi="Arial Bold"/>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sz w:val="24"/>
          <w:szCs w:val="24"/>
          <w:rtl w:val="0"/>
        </w:rPr>
        <w:t xml:space="preserve">The Supplier shall provide a valid Cyber Essentials Certificate accreditation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30j0zll"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3znysh7" w:id="4"/>
      <w:bookmarkEnd w:id="4"/>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2et92p0" w:id="3"/>
      <w:bookmarkEnd w:id="3"/>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sectPr>
          <w:headerReference r:id="rId7" w:type="default"/>
          <w:headerReference r:id="rId8" w:type="first"/>
          <w:footerReference r:id="rId9" w:type="default"/>
          <w:footerReference r:id="rId10" w:type="first"/>
          <w:pgSz w:h="16838" w:w="11906" w:orient="portrait"/>
          <w:pgMar w:bottom="1440" w:top="1440" w:left="1440" w:right="1399" w:header="709" w:footer="709"/>
          <w:pgNumType w:start="1"/>
        </w:sect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